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:rsidR="00131B14" w:rsidRPr="00D418F3" w:rsidRDefault="00FE7846" w:rsidP="00A876F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Спеціаліст з питань персоналу </w:t>
            </w:r>
            <w:proofErr w:type="spellStart"/>
            <w:r>
              <w:rPr>
                <w:sz w:val="24"/>
                <w:szCs w:val="24"/>
              </w:rPr>
              <w:t>Летичівського</w:t>
            </w:r>
            <w:proofErr w:type="spellEnd"/>
            <w:r w:rsidR="00A876FA">
              <w:rPr>
                <w:sz w:val="24"/>
                <w:szCs w:val="24"/>
              </w:rPr>
              <w:t xml:space="preserve"> районного суду Хмельницької області</w:t>
            </w:r>
            <w:r w:rsidR="009C2CE0" w:rsidRPr="00D418F3">
              <w:rPr>
                <w:sz w:val="24"/>
                <w:szCs w:val="24"/>
              </w:rPr>
              <w:t>,</w:t>
            </w:r>
            <w:r w:rsidR="00A876FA">
              <w:rPr>
                <w:sz w:val="24"/>
                <w:szCs w:val="24"/>
              </w:rPr>
              <w:t xml:space="preserve"> </w:t>
            </w:r>
            <w:r w:rsidR="009C2CE0" w:rsidRPr="00D418F3">
              <w:rPr>
                <w:sz w:val="24"/>
                <w:szCs w:val="24"/>
              </w:rPr>
              <w:t>категорія</w:t>
            </w:r>
            <w:r>
              <w:rPr>
                <w:sz w:val="24"/>
                <w:szCs w:val="24"/>
              </w:rPr>
              <w:t xml:space="preserve"> посади державної служби </w:t>
            </w:r>
            <w:r w:rsidR="009C2CE0" w:rsidRPr="00D418F3">
              <w:rPr>
                <w:sz w:val="24"/>
                <w:szCs w:val="24"/>
              </w:rPr>
              <w:t xml:space="preserve"> «</w:t>
            </w:r>
            <w:r w:rsidR="00A876FA">
              <w:rPr>
                <w:sz w:val="24"/>
                <w:szCs w:val="24"/>
              </w:rPr>
              <w:t>В</w:t>
            </w:r>
            <w:r w:rsidR="009C2CE0" w:rsidRPr="00D418F3">
              <w:rPr>
                <w:sz w:val="24"/>
                <w:szCs w:val="24"/>
              </w:rPr>
              <w:t>»</w:t>
            </w:r>
          </w:p>
        </w:tc>
      </w:tr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1. Бере участь у здійсненні заходів щодо реалізації державної полі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тики з кадрових питань в апараті суду.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2.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Аналізує практику застосування законодавчих і нормативних ак</w:t>
            </w:r>
            <w:r w:rsidRPr="00FE7846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uk-UA"/>
              </w:rPr>
              <w:t>тів з питань проведення державної кадрової політики в апараті </w:t>
            </w:r>
            <w:r w:rsidRPr="00FE78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суду, готує пропозиції щодо її поліпшення.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</w:t>
            </w:r>
            <w:r w:rsidRPr="00FE784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uk-UA"/>
              </w:rPr>
              <w:t> Готує та контролює документацію для продовження терміну 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перебування на державній службі працівникам апарату суду в установле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ному законодавством порядку.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4. </w:t>
            </w:r>
            <w:r w:rsidRPr="00FE784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>Готує проекти наказів про призначення на посади в апарат </w:t>
            </w: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>суду, переведення на інші посади, звільнення з посад, присвоєння рангів, встановлення надбавок, а також  інших наказів з кадро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вих питань.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5.  </w:t>
            </w:r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>Здійснює реєстрацію наказів у відповідному порядку.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6.  </w:t>
            </w:r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Виконує доручення голови та керівника апарату суду щодо </w:t>
            </w:r>
            <w:r w:rsidRPr="00FE7846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>контролю за виконанням річних планів</w:t>
            </w:r>
            <w:r w:rsidRPr="00FE784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uk-UA"/>
              </w:rPr>
              <w:t>, узагальнює практику роботи з кадрами, вносить 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голові суду та керівникові апарату пропозиції щодо її вдосконалення.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7. </w:t>
            </w:r>
            <w:r w:rsidRPr="00FE784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>Готує матеріали для проведення конкурсного відбору на поса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ди державних службовців апарату суду та проведення щорічної оцінки виконання державними службовцями апарату суду покладених на 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них обов'язків і завдань.</w:t>
            </w:r>
            <w:r w:rsidRPr="00FE78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                           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8. 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Здійснює вивчення та оформлення матеріалів осіб, які претенду</w:t>
            </w: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>ють на зайняття посад в апараті суду, попереджує їх про встановлені законодавством обмеження, пов'язані з прийняттям на державну слу</w:t>
            </w:r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жбу та проходженням державної служби, ознайомлює із Загальними </w:t>
            </w:r>
            <w:proofErr w:type="spellStart"/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>правилами  поведінки   державного  </w:t>
            </w:r>
            <w:proofErr w:type="spellEnd"/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> службовця.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9. </w:t>
            </w:r>
            <w:r w:rsidRPr="00FE784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 Забезпечує збір інформації та складає графік відпусток суддів 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та працівників апарату суду, контролює його виконання.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10.</w:t>
            </w: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> Проводить роботу з обліку, зберігання та оформлення особо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вих справ та трудових книжок суддів і працівників апарату суду.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11. Здійснює контроль за виконанням плану заходів місцевого суду 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щодо посилення боротьби з корупцією на відповідний рік з метою профі</w:t>
            </w:r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лактики та попередження корупційних діянь, за дотриманням державними службовцями апарату суду Законів України </w:t>
            </w:r>
            <w:proofErr w:type="spellStart"/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„Про</w:t>
            </w:r>
            <w:proofErr w:type="spellEnd"/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державну службу", </w:t>
            </w: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"Про  запобігання  корупції"</w:t>
            </w:r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, відповідних актів Президента України та Кабінету </w:t>
            </w:r>
            <w:r w:rsidRPr="00FE78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Міністрів України, спрямованих на боротьбу з корупцією.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12.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 Оформлює матеріали про прийняття присяги державними служ</w:t>
            </w:r>
            <w:r w:rsidRPr="00FE78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бовцями апарату суду, присвоєння рангів державним службовцям, вно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сить відповідні записи до трудових книжок.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13. Обліковує стаж роботи суддям та працівникам апарату </w:t>
            </w: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lastRenderedPageBreak/>
              <w:t>суду, 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що дає право на надбавку за вислугу років, здійснює контроль за встано</w:t>
            </w:r>
            <w:r w:rsidRPr="00FE78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вленням надбавок та наданням відпусток відповідної тривалості, готує 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проекти наказів щодо встановлення цих надбавок.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14.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 Готує матеріали на заохочення працівників суду, веде відповід</w:t>
            </w:r>
            <w:r w:rsidRPr="00FE784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ний облік.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15.</w:t>
            </w:r>
            <w:r w:rsidRPr="00FE784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> Здійснює оформлення документів за підсумками проведення </w:t>
            </w:r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>службового розслідування та застосування заходів дисциплінарного 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впливу щодо працівників суду.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16.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 Готує та подає в установленому порядку документи щодо при</w:t>
            </w:r>
            <w:r w:rsidRPr="00FE784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>значення довічного грошового утримання суддям та пенсій працівни</w:t>
            </w:r>
            <w:r w:rsidRPr="00FE78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кам апарату суду.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Оформлює та видає довідки з місця роботи.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Здійснює оформлення листків непрацездатності та засідань комі</w:t>
            </w:r>
            <w:r w:rsidRPr="00FE78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сії місцевого суду із соціального, страхування.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19. Контролює виконання планів підвищення кваліфікації суддів та </w:t>
            </w:r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працівників апарату суду.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 Збір і узагальнення пропозицій до проектів планів роботи суду, готування відповідних  проектів планів.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 </w:t>
            </w: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>Готує інформацію та подає звіти, аналізи, узагальнення про 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роботу з кадрами місцевого суду за вимогою відповідного територіального управління державної судової адміністрації.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22. Ведення програми </w:t>
            </w:r>
            <w:proofErr w:type="spellStart"/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Кадри-</w:t>
            </w:r>
            <w:proofErr w:type="spellEnd"/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web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23. Проводить роботу щодо </w:t>
            </w: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ведення військового обліку, бронювання військовозобов’язаних та проведення мобілізаційної підготовки працівників суду у відповідності до ЗУ «Про мобілізаційну підготовку».</w:t>
            </w:r>
          </w:p>
          <w:p w:rsid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24. </w:t>
            </w:r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>Виконує інші доручення голови суду та керівника апарату, 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що належать до питань роботи з кадрами</w:t>
            </w:r>
            <w:r w:rsidRPr="00510DE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.  </w:t>
            </w:r>
          </w:p>
          <w:p w:rsidR="00131B14" w:rsidRPr="00D418F3" w:rsidRDefault="00131B14" w:rsidP="00A876FA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Умови оплати праці</w:t>
            </w:r>
          </w:p>
        </w:tc>
        <w:tc>
          <w:tcPr>
            <w:tcW w:w="6946" w:type="dxa"/>
            <w:vAlign w:val="center"/>
          </w:tcPr>
          <w:p w:rsidR="00131B14" w:rsidRPr="00D418F3" w:rsidRDefault="00EC3B61" w:rsidP="00FE784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Відповідно до штатного розпису</w:t>
            </w:r>
            <w:r w:rsidRPr="00754F11">
              <w:rPr>
                <w:color w:val="000000"/>
                <w:sz w:val="24"/>
                <w:szCs w:val="24"/>
              </w:rPr>
              <w:t xml:space="preserve"> з 01</w:t>
            </w:r>
            <w:r w:rsidR="00FE7846">
              <w:rPr>
                <w:color w:val="000000"/>
                <w:sz w:val="24"/>
                <w:szCs w:val="24"/>
              </w:rPr>
              <w:t xml:space="preserve"> липня</w:t>
            </w:r>
            <w:r w:rsidRPr="00754F11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54F11">
              <w:rPr>
                <w:color w:val="000000"/>
                <w:sz w:val="24"/>
                <w:szCs w:val="24"/>
              </w:rPr>
              <w:t xml:space="preserve"> року, посадовий оклад становить </w:t>
            </w:r>
            <w:r w:rsidR="00826323">
              <w:rPr>
                <w:color w:val="000000"/>
                <w:sz w:val="24"/>
                <w:szCs w:val="24"/>
              </w:rPr>
              <w:t>4394</w:t>
            </w:r>
            <w:r w:rsidRPr="00754F11">
              <w:rPr>
                <w:color w:val="000000"/>
                <w:sz w:val="24"/>
                <w:szCs w:val="24"/>
              </w:rPr>
              <w:t xml:space="preserve"> грн., надбавка за вислугу років (за наявності стажу державної служби), надбавка за ранг державного службовця. Надбавка за інтенсивність праці та премія (у разі встановлення).</w:t>
            </w:r>
          </w:p>
        </w:tc>
      </w:tr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:rsidR="00131B14" w:rsidRPr="00D418F3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 xml:space="preserve">На </w:t>
            </w:r>
            <w:r w:rsidR="00EA5076" w:rsidRPr="00EC3B61">
              <w:rPr>
                <w:sz w:val="24"/>
                <w:szCs w:val="24"/>
              </w:rPr>
              <w:t>період</w:t>
            </w:r>
            <w:r w:rsidRPr="00EC3B61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C3B61">
              <w:rPr>
                <w:sz w:val="24"/>
                <w:szCs w:val="24"/>
              </w:rPr>
              <w:t>коронавірусом</w:t>
            </w:r>
            <w:proofErr w:type="spellEnd"/>
            <w:r w:rsidRPr="00EC3B61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EC3B61">
              <w:rPr>
                <w:sz w:val="24"/>
                <w:szCs w:val="24"/>
              </w:rPr>
              <w:t>.</w:t>
            </w:r>
          </w:p>
        </w:tc>
      </w:tr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:rsidR="002F1096" w:rsidRPr="00EC3B61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2F1096" w:rsidRPr="00EC3B61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C3B61">
              <w:rPr>
                <w:sz w:val="24"/>
                <w:szCs w:val="24"/>
              </w:rPr>
              <w:t>коронавірусом</w:t>
            </w:r>
            <w:proofErr w:type="spellEnd"/>
            <w:r w:rsidRPr="00EC3B61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</w:t>
            </w:r>
            <w:proofErr w:type="spellStart"/>
            <w:r w:rsidRPr="00EC3B61">
              <w:rPr>
                <w:sz w:val="24"/>
                <w:szCs w:val="24"/>
              </w:rPr>
              <w:t>квіт</w:t>
            </w:r>
            <w:proofErr w:type="spellEnd"/>
            <w:r w:rsidRPr="00EC3B61">
              <w:rPr>
                <w:sz w:val="24"/>
                <w:szCs w:val="24"/>
              </w:rPr>
              <w:t xml:space="preserve">ня 2020 </w:t>
            </w:r>
            <w:proofErr w:type="spellStart"/>
            <w:r w:rsidRPr="00EC3B61">
              <w:rPr>
                <w:sz w:val="24"/>
                <w:szCs w:val="24"/>
              </w:rPr>
              <w:t>рок</w:t>
            </w:r>
            <w:proofErr w:type="spellEnd"/>
            <w:r w:rsidRPr="00EC3B61">
              <w:rPr>
                <w:sz w:val="24"/>
                <w:szCs w:val="24"/>
              </w:rPr>
              <w:t>у</w:t>
            </w:r>
            <w:r w:rsidR="00C73B9B" w:rsidRPr="00EC3B61">
              <w:rPr>
                <w:sz w:val="24"/>
                <w:szCs w:val="24"/>
              </w:rPr>
              <w:t>№ 290</w:t>
            </w:r>
            <w:r w:rsidRPr="00EC3B61">
              <w:rPr>
                <w:sz w:val="24"/>
                <w:szCs w:val="24"/>
              </w:rPr>
              <w:t>(далі – Порядок);</w:t>
            </w:r>
          </w:p>
          <w:p w:rsidR="002F1096" w:rsidRPr="00EC3B61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2F1096" w:rsidRPr="00EC3B61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 xml:space="preserve">3) заяву, в якій повідомляє, що до неї не застосовуються </w:t>
            </w:r>
            <w:r w:rsidRPr="00EC3B61">
              <w:rPr>
                <w:sz w:val="24"/>
                <w:szCs w:val="24"/>
              </w:rPr>
              <w:lastRenderedPageBreak/>
              <w:t>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F1096" w:rsidRPr="00B37F2B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37F2B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:rsidR="007A0715" w:rsidRPr="007A0715" w:rsidRDefault="007A0715" w:rsidP="00A3571A">
            <w:pPr>
              <w:pStyle w:val="a4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EA5076" w:rsidRPr="00826323" w:rsidRDefault="00EA5076" w:rsidP="00A3571A">
            <w:pPr>
              <w:pStyle w:val="a4"/>
              <w:spacing w:before="0"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 xml:space="preserve">Інформація приймається </w:t>
            </w:r>
            <w:r w:rsidR="002F1096" w:rsidRPr="005C02C4">
              <w:rPr>
                <w:sz w:val="24"/>
                <w:szCs w:val="24"/>
              </w:rPr>
              <w:t xml:space="preserve">з </w:t>
            </w:r>
            <w:r w:rsidR="00D77356" w:rsidRPr="005C02C4">
              <w:rPr>
                <w:sz w:val="24"/>
                <w:szCs w:val="24"/>
              </w:rPr>
              <w:t>18 листопада 2020 року до 17 год.00хв. 23 листопада 2020</w:t>
            </w:r>
            <w:r w:rsidR="005C02C4">
              <w:rPr>
                <w:sz w:val="24"/>
                <w:szCs w:val="24"/>
              </w:rPr>
              <w:t xml:space="preserve"> </w:t>
            </w:r>
            <w:r w:rsidR="00D77356" w:rsidRPr="005C02C4">
              <w:rPr>
                <w:sz w:val="24"/>
                <w:szCs w:val="24"/>
              </w:rPr>
              <w:t>року, включно</w:t>
            </w:r>
          </w:p>
          <w:p w:rsidR="002F1096" w:rsidRPr="00444B0D" w:rsidRDefault="002F1096" w:rsidP="00245915">
            <w:pPr>
              <w:pStyle w:val="a4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3B61">
              <w:rPr>
                <w:sz w:val="24"/>
                <w:szCs w:val="24"/>
              </w:rPr>
              <w:t xml:space="preserve">Адресат: </w:t>
            </w:r>
            <w:proofErr w:type="spellStart"/>
            <w:r w:rsidR="00826323">
              <w:rPr>
                <w:sz w:val="24"/>
                <w:szCs w:val="24"/>
              </w:rPr>
              <w:t>Летичівський</w:t>
            </w:r>
            <w:proofErr w:type="spellEnd"/>
            <w:r w:rsidR="00826323">
              <w:rPr>
                <w:sz w:val="24"/>
                <w:szCs w:val="24"/>
              </w:rPr>
              <w:t xml:space="preserve"> </w:t>
            </w:r>
            <w:r w:rsidR="00245915">
              <w:rPr>
                <w:sz w:val="24"/>
                <w:szCs w:val="24"/>
              </w:rPr>
              <w:t>районний суд Хмельницької області</w:t>
            </w:r>
            <w:r w:rsidR="00462758" w:rsidRPr="00EC3B61">
              <w:rPr>
                <w:sz w:val="24"/>
                <w:szCs w:val="24"/>
              </w:rPr>
              <w:t>.</w:t>
            </w:r>
          </w:p>
          <w:p w:rsidR="007A0715" w:rsidRPr="00444B0D" w:rsidRDefault="007A0715" w:rsidP="00245915">
            <w:pPr>
              <w:pStyle w:val="a4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:rsidR="00E2513F" w:rsidRDefault="00826323" w:rsidP="00E2513F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Ноль </w:t>
            </w:r>
            <w:proofErr w:type="spellStart"/>
            <w:r>
              <w:rPr>
                <w:sz w:val="24"/>
                <w:szCs w:val="24"/>
                <w:lang w:val="ru-RU"/>
              </w:rPr>
              <w:t>Іван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Володимирович</w:t>
            </w:r>
            <w:proofErr w:type="spellEnd"/>
          </w:p>
          <w:p w:rsidR="00E2513F" w:rsidRPr="005C02C4" w:rsidRDefault="00E2513F" w:rsidP="00E2513F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5C02C4">
              <w:rPr>
                <w:sz w:val="24"/>
                <w:szCs w:val="24"/>
                <w:lang w:val="ru-RU"/>
              </w:rPr>
              <w:t>роб</w:t>
            </w:r>
            <w:proofErr w:type="gramStart"/>
            <w:r w:rsidRPr="005C02C4">
              <w:rPr>
                <w:sz w:val="24"/>
                <w:szCs w:val="24"/>
                <w:lang w:val="ru-RU"/>
              </w:rPr>
              <w:t>.т</w:t>
            </w:r>
            <w:proofErr w:type="gramEnd"/>
            <w:r w:rsidRPr="005C02C4">
              <w:rPr>
                <w:sz w:val="24"/>
                <w:szCs w:val="24"/>
                <w:lang w:val="ru-RU"/>
              </w:rPr>
              <w:t>ел</w:t>
            </w:r>
            <w:proofErr w:type="spellEnd"/>
            <w:r w:rsidRPr="005C02C4">
              <w:rPr>
                <w:sz w:val="24"/>
                <w:szCs w:val="24"/>
                <w:lang w:val="ru-RU"/>
              </w:rPr>
              <w:t>. 0(</w:t>
            </w:r>
            <w:r w:rsidRPr="005C02C4">
              <w:rPr>
                <w:sz w:val="24"/>
                <w:szCs w:val="24"/>
              </w:rPr>
              <w:t>385</w:t>
            </w:r>
            <w:r w:rsidR="005C02C4">
              <w:rPr>
                <w:sz w:val="24"/>
                <w:szCs w:val="24"/>
              </w:rPr>
              <w:t>7</w:t>
            </w:r>
            <w:r w:rsidR="005C02C4" w:rsidRPr="005C02C4">
              <w:rPr>
                <w:sz w:val="24"/>
                <w:szCs w:val="24"/>
                <w:lang w:val="ru-RU"/>
              </w:rPr>
              <w:t>) 9</w:t>
            </w:r>
            <w:r w:rsidRPr="005C02C4">
              <w:rPr>
                <w:sz w:val="24"/>
                <w:szCs w:val="24"/>
                <w:lang w:val="ru-RU"/>
              </w:rPr>
              <w:t>-</w:t>
            </w:r>
            <w:r w:rsidR="005C02C4" w:rsidRPr="005C02C4">
              <w:rPr>
                <w:sz w:val="24"/>
                <w:szCs w:val="24"/>
              </w:rPr>
              <w:t>16</w:t>
            </w:r>
            <w:r w:rsidRPr="005C02C4">
              <w:rPr>
                <w:sz w:val="24"/>
                <w:szCs w:val="24"/>
                <w:lang w:val="ru-RU"/>
              </w:rPr>
              <w:t>-</w:t>
            </w:r>
            <w:r w:rsidR="005C02C4" w:rsidRPr="005C02C4">
              <w:rPr>
                <w:sz w:val="24"/>
                <w:szCs w:val="24"/>
              </w:rPr>
              <w:t>31</w:t>
            </w:r>
            <w:r w:rsidRPr="005C02C4">
              <w:rPr>
                <w:sz w:val="24"/>
                <w:szCs w:val="24"/>
                <w:lang w:val="ru-RU"/>
              </w:rPr>
              <w:t>.</w:t>
            </w:r>
          </w:p>
          <w:p w:rsidR="00131B14" w:rsidRPr="005C02C4" w:rsidRDefault="00E2513F" w:rsidP="00EA5076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C02C4">
              <w:rPr>
                <w:i/>
                <w:sz w:val="24"/>
                <w:szCs w:val="24"/>
                <w:lang w:val="en-GB"/>
              </w:rPr>
              <w:t>email</w:t>
            </w:r>
            <w:r w:rsidRPr="005C02C4">
              <w:rPr>
                <w:i/>
                <w:sz w:val="24"/>
                <w:szCs w:val="24"/>
                <w:lang w:val="en-US"/>
              </w:rPr>
              <w:t>:</w:t>
            </w:r>
            <w:r w:rsidRPr="005C02C4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5C02C4" w:rsidRPr="005C02C4">
                <w:rPr>
                  <w:rStyle w:val="ad"/>
                  <w:i/>
                  <w:color w:val="000000" w:themeColor="text1"/>
                  <w:szCs w:val="28"/>
                  <w:shd w:val="clear" w:color="auto" w:fill="FFFFFF"/>
                </w:rPr>
                <w:t>inbox@lt.km.court.gov.ua</w:t>
              </w:r>
            </w:hyperlink>
          </w:p>
        </w:tc>
      </w:tr>
      <w:tr w:rsidR="00131B14" w:rsidRPr="00131B14" w:rsidTr="00EA5076">
        <w:tc>
          <w:tcPr>
            <w:tcW w:w="10349" w:type="dxa"/>
            <w:gridSpan w:val="3"/>
            <w:vAlign w:val="center"/>
          </w:tcPr>
          <w:p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:rsidTr="007356D8">
        <w:tc>
          <w:tcPr>
            <w:tcW w:w="425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:rsidR="00131B14" w:rsidRPr="00D418F3" w:rsidRDefault="00B54B9D" w:rsidP="00F87052">
            <w:pPr>
              <w:ind w:firstLine="0"/>
              <w:rPr>
                <w:sz w:val="24"/>
                <w:szCs w:val="24"/>
              </w:rPr>
            </w:pPr>
            <w:r w:rsidRPr="00D418F3">
              <w:rPr>
                <w:sz w:val="24"/>
                <w:szCs w:val="24"/>
              </w:rPr>
              <w:t>ступінь вищої освіти – не нижче</w:t>
            </w:r>
            <w:r w:rsidR="00B37F2B">
              <w:rPr>
                <w:sz w:val="24"/>
                <w:szCs w:val="24"/>
              </w:rPr>
              <w:t xml:space="preserve"> бакалавра</w:t>
            </w:r>
            <w:r w:rsidR="00F87052">
              <w:rPr>
                <w:sz w:val="24"/>
                <w:szCs w:val="24"/>
              </w:rPr>
              <w:t>, молодшого бакалавра</w:t>
            </w:r>
            <w:bookmarkStart w:id="0" w:name="_GoBack"/>
            <w:bookmarkEnd w:id="0"/>
          </w:p>
        </w:tc>
      </w:tr>
      <w:tr w:rsidR="00131B14" w:rsidRPr="00131B14" w:rsidTr="007356D8">
        <w:tc>
          <w:tcPr>
            <w:tcW w:w="425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:rsidR="00131B14" w:rsidRPr="00D418F3" w:rsidRDefault="00F87052" w:rsidP="007356D8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:rsidTr="007356D8">
        <w:tc>
          <w:tcPr>
            <w:tcW w:w="425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:rsidR="00131B14" w:rsidRPr="00D418F3" w:rsidRDefault="00B54B9D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18F3">
              <w:rPr>
                <w:sz w:val="24"/>
                <w:szCs w:val="24"/>
              </w:rPr>
              <w:t>вільне володіння</w:t>
            </w:r>
            <w:r w:rsidR="00F87052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  <w:tr w:rsidR="00131B14" w:rsidRPr="00131B14" w:rsidTr="007356D8">
        <w:tc>
          <w:tcPr>
            <w:tcW w:w="425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4.</w:t>
            </w:r>
          </w:p>
        </w:tc>
        <w:tc>
          <w:tcPr>
            <w:tcW w:w="2978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іноземною мовою</w:t>
            </w:r>
          </w:p>
        </w:tc>
        <w:tc>
          <w:tcPr>
            <w:tcW w:w="6946" w:type="dxa"/>
            <w:vAlign w:val="center"/>
          </w:tcPr>
          <w:p w:rsidR="00131B14" w:rsidRPr="00D418F3" w:rsidRDefault="00F87052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</w:tbl>
    <w:p w:rsidR="00131B14" w:rsidRDefault="00131B14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Pr="0081423A" w:rsidRDefault="00444B0D" w:rsidP="00B54B9D">
      <w:pPr>
        <w:pStyle w:val="a4"/>
        <w:rPr>
          <w:sz w:val="2"/>
          <w:szCs w:val="2"/>
        </w:rPr>
      </w:pPr>
    </w:p>
    <w:sectPr w:rsidR="00444B0D" w:rsidRPr="0081423A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16" w:rsidRDefault="00CE5216">
      <w:r>
        <w:separator/>
      </w:r>
    </w:p>
  </w:endnote>
  <w:endnote w:type="continuationSeparator" w:id="0">
    <w:p w:rsidR="00CE5216" w:rsidRDefault="00CE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16" w:rsidRDefault="00CE5216">
      <w:r>
        <w:separator/>
      </w:r>
    </w:p>
  </w:footnote>
  <w:footnote w:type="continuationSeparator" w:id="0">
    <w:p w:rsidR="00CE5216" w:rsidRDefault="00CE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16" w:rsidRDefault="00CE521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E5216" w:rsidRDefault="00CE52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16" w:rsidRPr="0081423A" w:rsidRDefault="00CE5216">
    <w:pPr>
      <w:framePr w:wrap="around" w:vAnchor="text" w:hAnchor="margin" w:xAlign="center" w:y="1"/>
      <w:rPr>
        <w:sz w:val="20"/>
      </w:rPr>
    </w:pPr>
  </w:p>
  <w:p w:rsidR="00CE5216" w:rsidRPr="0081423A" w:rsidRDefault="00CE5216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docVars>
    <w:docVar w:name="StepHandle" w:val="262696"/>
  </w:docVars>
  <w:rsids>
    <w:rsidRoot w:val="001A5FC5"/>
    <w:rsid w:val="00055494"/>
    <w:rsid w:val="00087853"/>
    <w:rsid w:val="00120DC1"/>
    <w:rsid w:val="00131B14"/>
    <w:rsid w:val="00167604"/>
    <w:rsid w:val="001A5FC5"/>
    <w:rsid w:val="001E3E40"/>
    <w:rsid w:val="00210F96"/>
    <w:rsid w:val="00236380"/>
    <w:rsid w:val="00245915"/>
    <w:rsid w:val="002836A2"/>
    <w:rsid w:val="002F1096"/>
    <w:rsid w:val="0037378F"/>
    <w:rsid w:val="00382CF8"/>
    <w:rsid w:val="003B1DB4"/>
    <w:rsid w:val="00415BAC"/>
    <w:rsid w:val="00421DAD"/>
    <w:rsid w:val="00444B0D"/>
    <w:rsid w:val="00462758"/>
    <w:rsid w:val="004746C7"/>
    <w:rsid w:val="00481AEE"/>
    <w:rsid w:val="004E0A60"/>
    <w:rsid w:val="005061A7"/>
    <w:rsid w:val="005522DB"/>
    <w:rsid w:val="005C02C4"/>
    <w:rsid w:val="00684A41"/>
    <w:rsid w:val="006B725C"/>
    <w:rsid w:val="006C5419"/>
    <w:rsid w:val="00727D4A"/>
    <w:rsid w:val="007356D8"/>
    <w:rsid w:val="00735A86"/>
    <w:rsid w:val="00762A28"/>
    <w:rsid w:val="007905EA"/>
    <w:rsid w:val="007A0715"/>
    <w:rsid w:val="0081423A"/>
    <w:rsid w:val="00826323"/>
    <w:rsid w:val="0086158D"/>
    <w:rsid w:val="00897272"/>
    <w:rsid w:val="00901D7D"/>
    <w:rsid w:val="009143ED"/>
    <w:rsid w:val="00966860"/>
    <w:rsid w:val="009732C4"/>
    <w:rsid w:val="00974D06"/>
    <w:rsid w:val="009A0AB5"/>
    <w:rsid w:val="009C2CE0"/>
    <w:rsid w:val="00A174F4"/>
    <w:rsid w:val="00A3571A"/>
    <w:rsid w:val="00A70B75"/>
    <w:rsid w:val="00A876FA"/>
    <w:rsid w:val="00AB2009"/>
    <w:rsid w:val="00AE6A40"/>
    <w:rsid w:val="00B0208E"/>
    <w:rsid w:val="00B12C52"/>
    <w:rsid w:val="00B37F2B"/>
    <w:rsid w:val="00B54B9D"/>
    <w:rsid w:val="00BF5A89"/>
    <w:rsid w:val="00C1272D"/>
    <w:rsid w:val="00C45D36"/>
    <w:rsid w:val="00C50B9F"/>
    <w:rsid w:val="00C5675B"/>
    <w:rsid w:val="00C6272E"/>
    <w:rsid w:val="00C73B9B"/>
    <w:rsid w:val="00CE5216"/>
    <w:rsid w:val="00D418F3"/>
    <w:rsid w:val="00D4377F"/>
    <w:rsid w:val="00D77356"/>
    <w:rsid w:val="00DB261D"/>
    <w:rsid w:val="00DC4BCF"/>
    <w:rsid w:val="00DC64C3"/>
    <w:rsid w:val="00E111B5"/>
    <w:rsid w:val="00E2513F"/>
    <w:rsid w:val="00E85B65"/>
    <w:rsid w:val="00E86217"/>
    <w:rsid w:val="00EA5076"/>
    <w:rsid w:val="00EC3B61"/>
    <w:rsid w:val="00EE0C98"/>
    <w:rsid w:val="00F411F7"/>
    <w:rsid w:val="00F87052"/>
    <w:rsid w:val="00FE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C1272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C1272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C1272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C1272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272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C1272D"/>
    <w:pPr>
      <w:spacing w:before="120"/>
      <w:ind w:firstLine="567"/>
    </w:pPr>
  </w:style>
  <w:style w:type="paragraph" w:customStyle="1" w:styleId="a5">
    <w:name w:val="Шапка документу"/>
    <w:basedOn w:val="a"/>
    <w:rsid w:val="00C1272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C1272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C1272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C1272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C1272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C1272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C1272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C1272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C1272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C1272D"/>
    <w:pPr>
      <w:ind w:firstLine="567"/>
    </w:pPr>
  </w:style>
  <w:style w:type="paragraph" w:customStyle="1" w:styleId="ShapkaDocumentu">
    <w:name w:val="Shapka Documentu"/>
    <w:basedOn w:val="NormalText"/>
    <w:rsid w:val="00C1272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FE7846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box@lt.km.court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833</Words>
  <Characters>5624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9</cp:revision>
  <cp:lastPrinted>2020-04-23T11:52:00Z</cp:lastPrinted>
  <dcterms:created xsi:type="dcterms:W3CDTF">2020-04-27T07:37:00Z</dcterms:created>
  <dcterms:modified xsi:type="dcterms:W3CDTF">2020-11-17T07:31:00Z</dcterms:modified>
</cp:coreProperties>
</file>